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452F" w14:textId="77777777" w:rsidR="001A046F" w:rsidRDefault="001957DC" w:rsidP="00386722">
      <w:pPr>
        <w:pStyle w:val="Heading1a"/>
        <w:keepNext w:val="0"/>
        <w:keepLines w:val="0"/>
        <w:tabs>
          <w:tab w:val="clear" w:pos="-720"/>
        </w:tabs>
        <w:suppressAutoHyphens w:val="0"/>
        <w:rPr>
          <w:bCs/>
          <w:smallCaps w:val="0"/>
          <w:sz w:val="24"/>
          <w:szCs w:val="24"/>
        </w:rPr>
      </w:pPr>
      <w:r>
        <w:rPr>
          <w:noProof/>
        </w:rPr>
        <w:drawing>
          <wp:anchor distT="0" distB="0" distL="114300" distR="114300" simplePos="0" relativeHeight="251657216" behindDoc="0" locked="0" layoutInCell="1" allowOverlap="1" wp14:anchorId="68562D52" wp14:editId="4D158A6A">
            <wp:simplePos x="0" y="0"/>
            <wp:positionH relativeFrom="margin">
              <wp:posOffset>3533775</wp:posOffset>
            </wp:positionH>
            <wp:positionV relativeFrom="margin">
              <wp:posOffset>-431165</wp:posOffset>
            </wp:positionV>
            <wp:extent cx="923925" cy="1019175"/>
            <wp:effectExtent l="0" t="0" r="0" b="0"/>
            <wp:wrapSquare wrapText="bothSides"/>
            <wp:docPr id="3" name="Picture 1" descr="Wami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ami_Logo[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6BE65D" wp14:editId="1C71602B">
            <wp:simplePos x="0" y="0"/>
            <wp:positionH relativeFrom="margin">
              <wp:posOffset>1635125</wp:posOffset>
            </wp:positionH>
            <wp:positionV relativeFrom="paragraph">
              <wp:posOffset>-464820</wp:posOffset>
            </wp:positionV>
            <wp:extent cx="1402715" cy="981075"/>
            <wp:effectExtent l="0" t="0" r="0" b="0"/>
            <wp:wrapTopAndBottom/>
            <wp:docPr id="2" name="Picture 2" descr="Description: Description: Description: Description: Description: Description: D:\Graphics\LOGO\ADB-Double-vectorisé-a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Graphics\LOGO\ADB-Double-vectorisé-ai.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71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4E37B" w14:textId="77777777" w:rsidR="001A046F" w:rsidRDefault="001A046F" w:rsidP="00386722">
      <w:pPr>
        <w:pStyle w:val="Heading1a"/>
        <w:keepNext w:val="0"/>
        <w:keepLines w:val="0"/>
        <w:tabs>
          <w:tab w:val="clear" w:pos="-720"/>
        </w:tabs>
        <w:suppressAutoHyphens w:val="0"/>
        <w:rPr>
          <w:bCs/>
          <w:smallCaps w:val="0"/>
          <w:sz w:val="24"/>
          <w:szCs w:val="24"/>
        </w:rPr>
      </w:pPr>
    </w:p>
    <w:p w14:paraId="0AC7C37F" w14:textId="77777777" w:rsidR="00D80A68" w:rsidRPr="00E03238" w:rsidRDefault="00D80A68" w:rsidP="00386722">
      <w:pPr>
        <w:pStyle w:val="Heading1a"/>
        <w:keepNext w:val="0"/>
        <w:keepLines w:val="0"/>
        <w:tabs>
          <w:tab w:val="clear" w:pos="-720"/>
        </w:tabs>
        <w:suppressAutoHyphens w:val="0"/>
        <w:rPr>
          <w:bCs/>
          <w:smallCaps w:val="0"/>
          <w:sz w:val="24"/>
          <w:szCs w:val="24"/>
        </w:rPr>
      </w:pPr>
    </w:p>
    <w:p w14:paraId="2CA3A280" w14:textId="77777777" w:rsidR="001A046F" w:rsidRDefault="001A046F" w:rsidP="001A046F">
      <w:pPr>
        <w:spacing w:line="360" w:lineRule="auto"/>
        <w:jc w:val="center"/>
        <w:rPr>
          <w:b/>
        </w:rPr>
      </w:pPr>
    </w:p>
    <w:p w14:paraId="1C9DC74B" w14:textId="77777777" w:rsidR="001A046F" w:rsidRPr="00FF07B7" w:rsidRDefault="001A046F" w:rsidP="001A046F">
      <w:pPr>
        <w:spacing w:line="360" w:lineRule="auto"/>
        <w:jc w:val="center"/>
        <w:rPr>
          <w:b/>
        </w:rPr>
      </w:pPr>
      <w:bookmarkStart w:id="0" w:name="_Hlk102075184"/>
      <w:r w:rsidRPr="00FF07B7">
        <w:rPr>
          <w:b/>
        </w:rPr>
        <w:t>SPECIFIC PROCUREMENT NOTICE</w:t>
      </w:r>
    </w:p>
    <w:p w14:paraId="6BF343F6" w14:textId="77777777" w:rsidR="001A046F" w:rsidRPr="00FF07B7" w:rsidRDefault="001A046F" w:rsidP="001A046F">
      <w:pPr>
        <w:spacing w:line="360" w:lineRule="auto"/>
        <w:jc w:val="center"/>
        <w:rPr>
          <w:b/>
        </w:rPr>
      </w:pPr>
      <w:r>
        <w:rPr>
          <w:b/>
        </w:rPr>
        <w:t>WEST AFRICAN MONETARY INSTITUTE (WAMI)</w:t>
      </w:r>
    </w:p>
    <w:p w14:paraId="6E832BA7" w14:textId="77777777" w:rsidR="001A046F" w:rsidRDefault="001A046F" w:rsidP="00386722">
      <w:pPr>
        <w:jc w:val="center"/>
        <w:rPr>
          <w:b/>
        </w:rPr>
      </w:pPr>
    </w:p>
    <w:p w14:paraId="392E861A" w14:textId="77777777" w:rsidR="00D80A68" w:rsidRPr="00E03238" w:rsidRDefault="00D80A68" w:rsidP="00386722">
      <w:pPr>
        <w:jc w:val="center"/>
        <w:rPr>
          <w:b/>
        </w:rPr>
      </w:pPr>
      <w:r w:rsidRPr="00E03238">
        <w:rPr>
          <w:b/>
        </w:rPr>
        <w:t>REQUEST FOR EXPRESSIONS OF INTEREST</w:t>
      </w:r>
    </w:p>
    <w:p w14:paraId="48DB6498" w14:textId="77777777" w:rsidR="00D80A68" w:rsidRDefault="00D80A68" w:rsidP="00386722">
      <w:pPr>
        <w:jc w:val="center"/>
        <w:rPr>
          <w:b/>
        </w:rPr>
      </w:pPr>
      <w:r w:rsidRPr="00E03238">
        <w:rPr>
          <w:b/>
        </w:rPr>
        <w:t>(</w:t>
      </w:r>
      <w:r w:rsidR="00F92511" w:rsidRPr="00E03238">
        <w:rPr>
          <w:b/>
        </w:rPr>
        <w:t xml:space="preserve">CONSULTING </w:t>
      </w:r>
      <w:r w:rsidRPr="00E03238">
        <w:rPr>
          <w:b/>
        </w:rPr>
        <w:t>SERVICES)</w:t>
      </w:r>
    </w:p>
    <w:p w14:paraId="23AEEA32" w14:textId="77777777" w:rsidR="00FF1664" w:rsidRDefault="00FF1664" w:rsidP="00386722">
      <w:pPr>
        <w:jc w:val="center"/>
        <w:rPr>
          <w:b/>
        </w:rPr>
      </w:pPr>
    </w:p>
    <w:p w14:paraId="085B44E1" w14:textId="77777777" w:rsidR="00FF1664" w:rsidRDefault="00FF1664" w:rsidP="00386722">
      <w:pPr>
        <w:jc w:val="center"/>
        <w:rPr>
          <w:b/>
        </w:rPr>
      </w:pPr>
    </w:p>
    <w:p w14:paraId="306E0E82" w14:textId="77777777" w:rsidR="00FF1664" w:rsidRDefault="00AB25F0" w:rsidP="00FF1664">
      <w:pPr>
        <w:jc w:val="center"/>
        <w:rPr>
          <w:b/>
        </w:rPr>
      </w:pPr>
      <w:r w:rsidRPr="00AB25F0">
        <w:rPr>
          <w:b/>
        </w:rPr>
        <w:t>RECRUITMENT OF A CONSULTING FIRM FOR THE PREPARATION OF HARMONIZED INSTITUTIONAL INVESTORS</w:t>
      </w:r>
      <w:r w:rsidR="00DB7995">
        <w:rPr>
          <w:b/>
        </w:rPr>
        <w:t>’</w:t>
      </w:r>
      <w:r w:rsidRPr="00AB25F0">
        <w:rPr>
          <w:b/>
        </w:rPr>
        <w:t xml:space="preserve"> FRAMEWORK &amp; THE DEVELOPMENT OF PRIMARY DEALERS’ SYSTEM</w:t>
      </w:r>
    </w:p>
    <w:p w14:paraId="092F4F7F" w14:textId="77777777" w:rsidR="00AB25F0" w:rsidRDefault="00AB25F0" w:rsidP="00FF1664">
      <w:pPr>
        <w:jc w:val="center"/>
        <w:rPr>
          <w:b/>
        </w:rPr>
      </w:pPr>
    </w:p>
    <w:p w14:paraId="77096C70" w14:textId="77777777" w:rsidR="00FF1664" w:rsidRDefault="00FF1664" w:rsidP="001A046F">
      <w:pPr>
        <w:rPr>
          <w:b/>
        </w:rPr>
      </w:pPr>
    </w:p>
    <w:p w14:paraId="3F91F275" w14:textId="77777777" w:rsidR="001A046F" w:rsidRDefault="001A046F" w:rsidP="001A046F">
      <w:pPr>
        <w:spacing w:line="276" w:lineRule="auto"/>
        <w:rPr>
          <w:bCs/>
        </w:rPr>
      </w:pPr>
      <w:r w:rsidRPr="006C5FDD">
        <w:rPr>
          <w:b/>
        </w:rPr>
        <w:t>COUNTRIES</w:t>
      </w:r>
      <w:r>
        <w:rPr>
          <w:b/>
        </w:rPr>
        <w:tab/>
      </w:r>
      <w:r>
        <w:rPr>
          <w:b/>
        </w:rPr>
        <w:tab/>
      </w:r>
      <w:r>
        <w:rPr>
          <w:b/>
        </w:rPr>
        <w:tab/>
      </w:r>
      <w:r w:rsidRPr="006C5FDD">
        <w:rPr>
          <w:b/>
        </w:rPr>
        <w:t xml:space="preserve">: </w:t>
      </w:r>
      <w:r w:rsidRPr="006C5FDD">
        <w:rPr>
          <w:bCs/>
        </w:rPr>
        <w:t xml:space="preserve">Regional WAMZ Countries - The Gambia, Sierra Leone, </w:t>
      </w:r>
      <w:r>
        <w:rPr>
          <w:bCs/>
        </w:rPr>
        <w:t xml:space="preserve"> </w:t>
      </w:r>
    </w:p>
    <w:p w14:paraId="5D0F5063" w14:textId="77777777" w:rsidR="001A046F" w:rsidRPr="006C5FDD" w:rsidRDefault="001A046F" w:rsidP="001A046F">
      <w:pPr>
        <w:spacing w:line="276" w:lineRule="auto"/>
        <w:rPr>
          <w:bCs/>
        </w:rPr>
      </w:pPr>
      <w:r>
        <w:rPr>
          <w:bCs/>
        </w:rPr>
        <w:t xml:space="preserve">                                                  </w:t>
      </w:r>
      <w:r w:rsidRPr="006C5FDD">
        <w:rPr>
          <w:bCs/>
        </w:rPr>
        <w:t>Guinea</w:t>
      </w:r>
      <w:r>
        <w:rPr>
          <w:bCs/>
        </w:rPr>
        <w:t xml:space="preserve"> a</w:t>
      </w:r>
      <w:r w:rsidRPr="006C5FDD">
        <w:rPr>
          <w:bCs/>
        </w:rPr>
        <w:t>nd</w:t>
      </w:r>
      <w:r>
        <w:rPr>
          <w:bCs/>
        </w:rPr>
        <w:t xml:space="preserve"> </w:t>
      </w:r>
      <w:r w:rsidRPr="006C5FDD">
        <w:rPr>
          <w:bCs/>
        </w:rPr>
        <w:t>Liberia</w:t>
      </w:r>
    </w:p>
    <w:p w14:paraId="2F8BD6A9" w14:textId="77777777" w:rsidR="001A046F" w:rsidRPr="006C5FDD" w:rsidRDefault="001A046F" w:rsidP="001A046F">
      <w:pPr>
        <w:spacing w:line="276" w:lineRule="auto"/>
        <w:ind w:left="2880" w:hanging="2880"/>
        <w:rPr>
          <w:b/>
        </w:rPr>
      </w:pPr>
      <w:r w:rsidRPr="006C5FDD">
        <w:rPr>
          <w:b/>
        </w:rPr>
        <w:t>NAME OF PROJECT</w:t>
      </w:r>
      <w:r>
        <w:rPr>
          <w:b/>
        </w:rPr>
        <w:tab/>
      </w:r>
      <w:r w:rsidRPr="006C5FDD">
        <w:rPr>
          <w:b/>
        </w:rPr>
        <w:t>:</w:t>
      </w:r>
      <w:r>
        <w:rPr>
          <w:b/>
        </w:rPr>
        <w:t xml:space="preserve"> </w:t>
      </w:r>
      <w:r w:rsidRPr="00D16CDB">
        <w:rPr>
          <w:b/>
        </w:rPr>
        <w:t>DEVELOPMENT OF THE DEBT MARKETS IN THE WEST AFRICAN MONETARY ZONE (WA</w:t>
      </w:r>
      <w:r w:rsidR="00C72575">
        <w:rPr>
          <w:b/>
        </w:rPr>
        <w:t>M</w:t>
      </w:r>
      <w:r w:rsidRPr="00D16CDB">
        <w:rPr>
          <w:b/>
        </w:rPr>
        <w:t>Z)-PHASE 1 PROJECT</w:t>
      </w:r>
    </w:p>
    <w:p w14:paraId="22B6CC11" w14:textId="77777777" w:rsidR="001A046F" w:rsidRPr="006C5FDD" w:rsidRDefault="001A046F" w:rsidP="001A046F">
      <w:pPr>
        <w:spacing w:line="276" w:lineRule="auto"/>
        <w:rPr>
          <w:b/>
        </w:rPr>
      </w:pPr>
      <w:r w:rsidRPr="006C5FDD">
        <w:rPr>
          <w:b/>
        </w:rPr>
        <w:t>SECTOR</w:t>
      </w:r>
      <w:r>
        <w:rPr>
          <w:b/>
        </w:rPr>
        <w:tab/>
      </w:r>
      <w:r>
        <w:rPr>
          <w:b/>
        </w:rPr>
        <w:tab/>
      </w:r>
      <w:r>
        <w:rPr>
          <w:b/>
        </w:rPr>
        <w:tab/>
      </w:r>
      <w:r w:rsidRPr="006C5FDD">
        <w:rPr>
          <w:b/>
        </w:rPr>
        <w:t xml:space="preserve">: </w:t>
      </w:r>
      <w:r w:rsidRPr="006C5FDD">
        <w:rPr>
          <w:bCs/>
        </w:rPr>
        <w:t>Financial Sector</w:t>
      </w:r>
    </w:p>
    <w:p w14:paraId="59BF6444" w14:textId="77777777" w:rsidR="001A046F" w:rsidRPr="006C5FDD" w:rsidRDefault="001A046F" w:rsidP="001A046F">
      <w:pPr>
        <w:spacing w:line="276" w:lineRule="auto"/>
        <w:rPr>
          <w:b/>
        </w:rPr>
      </w:pPr>
      <w:r w:rsidRPr="006C5FDD">
        <w:rPr>
          <w:b/>
        </w:rPr>
        <w:t>PROJECT ID</w:t>
      </w:r>
      <w:r>
        <w:rPr>
          <w:b/>
        </w:rPr>
        <w:tab/>
      </w:r>
      <w:r>
        <w:rPr>
          <w:b/>
        </w:rPr>
        <w:tab/>
      </w:r>
      <w:r w:rsidRPr="006C5FDD">
        <w:rPr>
          <w:b/>
        </w:rPr>
        <w:t xml:space="preserve">: </w:t>
      </w:r>
      <w:r w:rsidRPr="006C5FDD">
        <w:rPr>
          <w:bCs/>
        </w:rPr>
        <w:t>P-Z1-H00-063</w:t>
      </w:r>
    </w:p>
    <w:p w14:paraId="1E767878" w14:textId="77777777" w:rsidR="001A046F" w:rsidRDefault="001A046F" w:rsidP="001A046F">
      <w:pPr>
        <w:spacing w:line="276" w:lineRule="auto"/>
      </w:pPr>
      <w:r w:rsidRPr="006C5FDD">
        <w:rPr>
          <w:b/>
        </w:rPr>
        <w:t>GRANT N</w:t>
      </w:r>
      <w:r>
        <w:rPr>
          <w:b/>
        </w:rPr>
        <w:t>o.</w:t>
      </w:r>
      <w:r>
        <w:rPr>
          <w:b/>
        </w:rPr>
        <w:tab/>
      </w:r>
      <w:r>
        <w:rPr>
          <w:b/>
        </w:rPr>
        <w:tab/>
      </w:r>
      <w:r>
        <w:rPr>
          <w:b/>
        </w:rPr>
        <w:tab/>
      </w:r>
      <w:r w:rsidRPr="006C5FDD">
        <w:rPr>
          <w:b/>
        </w:rPr>
        <w:t xml:space="preserve">: </w:t>
      </w:r>
      <w:r w:rsidRPr="006C5FDD">
        <w:t>590015501636</w:t>
      </w:r>
      <w:r w:rsidR="0042112E">
        <w:t>9</w:t>
      </w:r>
    </w:p>
    <w:p w14:paraId="41F85F6C" w14:textId="77777777" w:rsidR="001A046F" w:rsidRDefault="001A046F" w:rsidP="00E944B5">
      <w:pPr>
        <w:ind w:left="2880" w:hanging="2880"/>
        <w:jc w:val="left"/>
        <w:rPr>
          <w:b/>
          <w:bCs/>
        </w:rPr>
      </w:pPr>
      <w:r w:rsidRPr="006C5FDD">
        <w:rPr>
          <w:b/>
          <w:bCs/>
        </w:rPr>
        <w:t>CONTRACT NAME</w:t>
      </w:r>
      <w:r>
        <w:rPr>
          <w:b/>
          <w:bCs/>
        </w:rPr>
        <w:tab/>
      </w:r>
      <w:r w:rsidRPr="006C5FDD">
        <w:rPr>
          <w:b/>
          <w:bCs/>
        </w:rPr>
        <w:t>:</w:t>
      </w:r>
      <w:bookmarkStart w:id="1" w:name="_Hlk81052144"/>
      <w:r w:rsidR="0042112E">
        <w:rPr>
          <w:b/>
          <w:bCs/>
        </w:rPr>
        <w:t xml:space="preserve"> </w:t>
      </w:r>
      <w:r w:rsidR="00AB25F0" w:rsidRPr="00AB25F0">
        <w:rPr>
          <w:b/>
          <w:bCs/>
        </w:rPr>
        <w:t>CONSULTANCY SERVICES FOR THE PREPARATION OF INSTITUTIONAL INVESTORS</w:t>
      </w:r>
      <w:r w:rsidR="00DB7995">
        <w:rPr>
          <w:b/>
          <w:bCs/>
        </w:rPr>
        <w:t>’</w:t>
      </w:r>
      <w:r w:rsidR="00AB25F0" w:rsidRPr="00AB25F0">
        <w:rPr>
          <w:b/>
          <w:bCs/>
        </w:rPr>
        <w:t xml:space="preserve"> FRAMEWORK &amp; </w:t>
      </w:r>
      <w:r w:rsidR="00DB7995">
        <w:rPr>
          <w:b/>
          <w:bCs/>
        </w:rPr>
        <w:t xml:space="preserve">THE </w:t>
      </w:r>
      <w:r w:rsidR="00AB25F0" w:rsidRPr="00AB25F0">
        <w:rPr>
          <w:b/>
          <w:bCs/>
        </w:rPr>
        <w:t>DEVELOPMENT OF PRIMARY DEALERS’ SYSTEM</w:t>
      </w:r>
    </w:p>
    <w:p w14:paraId="7071852D" w14:textId="77777777" w:rsidR="001A046F" w:rsidRPr="001A046F" w:rsidRDefault="001A046F" w:rsidP="001A046F">
      <w:pPr>
        <w:ind w:left="2880" w:hanging="2880"/>
        <w:rPr>
          <w:b/>
          <w:bCs/>
        </w:rPr>
      </w:pPr>
    </w:p>
    <w:bookmarkEnd w:id="1"/>
    <w:p w14:paraId="4E0F1279" w14:textId="77777777" w:rsidR="001A046F" w:rsidRPr="00E36129" w:rsidRDefault="001A046F" w:rsidP="001A046F">
      <w:pPr>
        <w:spacing w:line="276" w:lineRule="auto"/>
        <w:rPr>
          <w:rFonts w:ascii="Century Gothic" w:hAnsi="Century Gothic"/>
          <w:b/>
          <w:sz w:val="20"/>
          <w:szCs w:val="20"/>
        </w:rPr>
      </w:pPr>
      <w:r>
        <w:rPr>
          <w:b/>
          <w:bCs/>
        </w:rPr>
        <w:t>IFB No.</w:t>
      </w:r>
      <w:r>
        <w:rPr>
          <w:b/>
          <w:bCs/>
        </w:rPr>
        <w:tab/>
      </w:r>
      <w:r>
        <w:rPr>
          <w:b/>
          <w:bCs/>
        </w:rPr>
        <w:tab/>
      </w:r>
      <w:r>
        <w:rPr>
          <w:b/>
          <w:bCs/>
        </w:rPr>
        <w:tab/>
        <w:t xml:space="preserve">: </w:t>
      </w:r>
      <w:r w:rsidR="00AB25F0" w:rsidRPr="00AB25F0">
        <w:rPr>
          <w:b/>
          <w:bCs/>
        </w:rPr>
        <w:t>WAMI/AfDB/DMD/QCBS/SERV/02/2020</w:t>
      </w:r>
      <w:bookmarkEnd w:id="0"/>
      <w:r w:rsidR="00487B10">
        <w:rPr>
          <w:b/>
          <w:noProof/>
        </w:rPr>
        <w:pict w14:anchorId="4483180E">
          <v:rect id="_x0000_i1025" style="width:422.95pt;height:.05pt;flip:y" o:hrpct="979" o:hralign="center" o:hrstd="t" o:hr="t" fillcolor="#a0a0a0" stroked="f"/>
        </w:pict>
      </w:r>
    </w:p>
    <w:p w14:paraId="33448100" w14:textId="77777777" w:rsidR="001A046F" w:rsidRPr="00E03238" w:rsidRDefault="001A046F" w:rsidP="001A046F">
      <w:pPr>
        <w:rPr>
          <w:b/>
        </w:rPr>
      </w:pPr>
    </w:p>
    <w:p w14:paraId="6615BD0E" w14:textId="77777777" w:rsidR="00D80A68" w:rsidRPr="00643275" w:rsidRDefault="00D80A68" w:rsidP="00386722">
      <w:pPr>
        <w:rPr>
          <w:b/>
          <w:bCs/>
          <w:i/>
          <w:iCs/>
          <w:spacing w:val="-2"/>
        </w:rPr>
      </w:pPr>
      <w:r w:rsidRPr="00643275">
        <w:rPr>
          <w:spacing w:val="-2"/>
        </w:rPr>
        <w:t xml:space="preserve">The </w:t>
      </w:r>
      <w:r w:rsidR="009A11BF" w:rsidRPr="00643275">
        <w:rPr>
          <w:spacing w:val="-2"/>
        </w:rPr>
        <w:t>West African Monetary Institute (WAMI)</w:t>
      </w:r>
      <w:r w:rsidRPr="00643275">
        <w:rPr>
          <w:spacing w:val="-2"/>
        </w:rPr>
        <w:t xml:space="preserve"> has received</w:t>
      </w:r>
      <w:r w:rsidR="0096315D" w:rsidRPr="00643275">
        <w:rPr>
          <w:spacing w:val="-2"/>
        </w:rPr>
        <w:t xml:space="preserve"> </w:t>
      </w:r>
      <w:r w:rsidRPr="00643275">
        <w:rPr>
          <w:spacing w:val="-2"/>
        </w:rPr>
        <w:t xml:space="preserve">financing from the </w:t>
      </w:r>
      <w:r w:rsidR="0083185C" w:rsidRPr="00643275">
        <w:rPr>
          <w:spacing w:val="-2"/>
        </w:rPr>
        <w:t>A</w:t>
      </w:r>
      <w:r w:rsidRPr="00643275">
        <w:rPr>
          <w:spacing w:val="-2"/>
        </w:rPr>
        <w:t xml:space="preserve">frican Development Bank toward the cost of the </w:t>
      </w:r>
      <w:r w:rsidR="009A11BF" w:rsidRPr="00643275">
        <w:rPr>
          <w:spacing w:val="-2"/>
        </w:rPr>
        <w:t>Development of the Domestic Debt Markets in the West African Monetary Zone (WAMZ)-</w:t>
      </w:r>
      <w:r w:rsidR="00CB0E47" w:rsidRPr="00643275">
        <w:rPr>
          <w:spacing w:val="-2"/>
        </w:rPr>
        <w:t>Phase 1 Project</w:t>
      </w:r>
      <w:r w:rsidR="009A11BF" w:rsidRPr="00643275">
        <w:rPr>
          <w:spacing w:val="-2"/>
        </w:rPr>
        <w:t xml:space="preserve"> and</w:t>
      </w:r>
      <w:r w:rsidRPr="00643275">
        <w:rPr>
          <w:spacing w:val="-2"/>
        </w:rPr>
        <w:t xml:space="preserve"> intends to apply part of the </w:t>
      </w:r>
      <w:r w:rsidR="0083185C" w:rsidRPr="00643275">
        <w:rPr>
          <w:spacing w:val="-2"/>
        </w:rPr>
        <w:t xml:space="preserve">agreed amount </w:t>
      </w:r>
      <w:r w:rsidR="00643275" w:rsidRPr="00643275">
        <w:rPr>
          <w:spacing w:val="-2"/>
        </w:rPr>
        <w:t>of</w:t>
      </w:r>
      <w:r w:rsidR="0083185C" w:rsidRPr="00643275">
        <w:rPr>
          <w:spacing w:val="-2"/>
        </w:rPr>
        <w:t xml:space="preserve"> this</w:t>
      </w:r>
      <w:r w:rsidRPr="00643275">
        <w:rPr>
          <w:spacing w:val="-2"/>
        </w:rPr>
        <w:t xml:space="preserve"> grant to payments under the contract for </w:t>
      </w:r>
      <w:r w:rsidR="00DB7995" w:rsidRPr="00DB7995">
        <w:rPr>
          <w:b/>
          <w:bCs/>
          <w:i/>
          <w:iCs/>
          <w:spacing w:val="-2"/>
        </w:rPr>
        <w:t>Consultancy Services for the preparation of harmonized institutional investors framework &amp; development of primary dealers’ system</w:t>
      </w:r>
      <w:r w:rsidR="008C4BF0" w:rsidRPr="00643275">
        <w:rPr>
          <w:b/>
          <w:bCs/>
          <w:i/>
          <w:iCs/>
          <w:spacing w:val="-2"/>
        </w:rPr>
        <w:t>.</w:t>
      </w:r>
    </w:p>
    <w:p w14:paraId="6B02BD0A" w14:textId="77777777" w:rsidR="00D80A68" w:rsidRPr="00E03238" w:rsidRDefault="00D80A68" w:rsidP="00386722">
      <w:pPr>
        <w:rPr>
          <w:spacing w:val="-2"/>
        </w:rPr>
      </w:pPr>
    </w:p>
    <w:p w14:paraId="631B2B9B" w14:textId="77777777" w:rsidR="00CB0E47" w:rsidRDefault="00D80A68" w:rsidP="00C50F59">
      <w:pPr>
        <w:rPr>
          <w:spacing w:val="-2"/>
        </w:rPr>
      </w:pPr>
      <w:r w:rsidRPr="00E03238">
        <w:rPr>
          <w:spacing w:val="-2"/>
        </w:rPr>
        <w:t xml:space="preserve">The </w:t>
      </w:r>
      <w:r w:rsidR="00643275">
        <w:rPr>
          <w:spacing w:val="-2"/>
        </w:rPr>
        <w:t>S</w:t>
      </w:r>
      <w:r w:rsidRPr="00E03238">
        <w:rPr>
          <w:spacing w:val="-2"/>
        </w:rPr>
        <w:t>ervices include</w:t>
      </w:r>
      <w:r w:rsidR="004E0FDB">
        <w:rPr>
          <w:spacing w:val="-2"/>
        </w:rPr>
        <w:t>d</w:t>
      </w:r>
      <w:r w:rsidR="00BF11F2">
        <w:rPr>
          <w:spacing w:val="-2"/>
        </w:rPr>
        <w:t xml:space="preserve"> under this </w:t>
      </w:r>
      <w:r w:rsidR="00643275">
        <w:rPr>
          <w:spacing w:val="-2"/>
        </w:rPr>
        <w:t xml:space="preserve">Assignment </w:t>
      </w:r>
      <w:r w:rsidR="00BF11F2">
        <w:rPr>
          <w:spacing w:val="-2"/>
        </w:rPr>
        <w:t>are</w:t>
      </w:r>
      <w:r w:rsidRPr="00E03238">
        <w:rPr>
          <w:spacing w:val="-2"/>
        </w:rPr>
        <w:t xml:space="preserve"> </w:t>
      </w:r>
      <w:r w:rsidR="00585C51">
        <w:rPr>
          <w:spacing w:val="-2"/>
        </w:rPr>
        <w:t>undertake c</w:t>
      </w:r>
      <w:r w:rsidR="00585C51" w:rsidRPr="00585C51">
        <w:rPr>
          <w:spacing w:val="-2"/>
        </w:rPr>
        <w:t>omprehensive review</w:t>
      </w:r>
      <w:r w:rsidR="00585C51">
        <w:rPr>
          <w:spacing w:val="-2"/>
        </w:rPr>
        <w:t xml:space="preserve">, </w:t>
      </w:r>
      <w:r w:rsidR="00585C51" w:rsidRPr="00585C51">
        <w:rPr>
          <w:spacing w:val="-2"/>
        </w:rPr>
        <w:t xml:space="preserve">benchmarking </w:t>
      </w:r>
      <w:r w:rsidR="00585C51">
        <w:rPr>
          <w:spacing w:val="-2"/>
        </w:rPr>
        <w:t>and d</w:t>
      </w:r>
      <w:r w:rsidR="00585C51" w:rsidRPr="00585C51">
        <w:rPr>
          <w:spacing w:val="-2"/>
        </w:rPr>
        <w:t>evelopmental status</w:t>
      </w:r>
      <w:r w:rsidR="00585C51">
        <w:rPr>
          <w:spacing w:val="-2"/>
        </w:rPr>
        <w:t xml:space="preserve"> analysis; </w:t>
      </w:r>
      <w:r w:rsidR="00000478" w:rsidRPr="00000478">
        <w:rPr>
          <w:spacing w:val="-2"/>
        </w:rPr>
        <w:t>to</w:t>
      </w:r>
      <w:r w:rsidR="00C50F59">
        <w:rPr>
          <w:spacing w:val="-2"/>
        </w:rPr>
        <w:t xml:space="preserve"> d</w:t>
      </w:r>
      <w:r w:rsidR="00C50F59" w:rsidRPr="00C50F59">
        <w:rPr>
          <w:spacing w:val="-2"/>
        </w:rPr>
        <w:t xml:space="preserve">evelop a </w:t>
      </w:r>
      <w:r w:rsidR="00E944B5">
        <w:rPr>
          <w:spacing w:val="-2"/>
        </w:rPr>
        <w:t xml:space="preserve">country specific and </w:t>
      </w:r>
      <w:r w:rsidR="00C50F59" w:rsidRPr="00C50F59">
        <w:rPr>
          <w:spacing w:val="-2"/>
        </w:rPr>
        <w:t xml:space="preserve">harmonized framework for </w:t>
      </w:r>
      <w:r w:rsidR="00E944B5">
        <w:rPr>
          <w:spacing w:val="-2"/>
        </w:rPr>
        <w:t xml:space="preserve">the development and deepening </w:t>
      </w:r>
      <w:r w:rsidR="00585C51">
        <w:rPr>
          <w:spacing w:val="-2"/>
        </w:rPr>
        <w:t xml:space="preserve">of </w:t>
      </w:r>
      <w:r w:rsidR="00C50F59" w:rsidRPr="00C50F59">
        <w:rPr>
          <w:spacing w:val="-2"/>
        </w:rPr>
        <w:t>institutional investor</w:t>
      </w:r>
      <w:r w:rsidR="00E944B5">
        <w:rPr>
          <w:spacing w:val="-2"/>
        </w:rPr>
        <w:t xml:space="preserve"> base</w:t>
      </w:r>
      <w:r w:rsidR="00C50F59" w:rsidRPr="00C50F59">
        <w:rPr>
          <w:spacing w:val="-2"/>
        </w:rPr>
        <w:t xml:space="preserve"> in the four countries of the WAMZ</w:t>
      </w:r>
      <w:r w:rsidR="00E944B5">
        <w:rPr>
          <w:spacing w:val="-2"/>
        </w:rPr>
        <w:t xml:space="preserve"> of </w:t>
      </w:r>
      <w:r w:rsidR="00E944B5" w:rsidRPr="00E944B5">
        <w:rPr>
          <w:spacing w:val="-2"/>
        </w:rPr>
        <w:t>The Gambia, Sierra Leone</w:t>
      </w:r>
      <w:r w:rsidR="00E944B5">
        <w:rPr>
          <w:spacing w:val="-2"/>
        </w:rPr>
        <w:t xml:space="preserve">, </w:t>
      </w:r>
      <w:r w:rsidR="00E944B5" w:rsidRPr="00E944B5">
        <w:rPr>
          <w:spacing w:val="-2"/>
        </w:rPr>
        <w:t>Guinea and Liberia</w:t>
      </w:r>
      <w:r w:rsidR="00C50F59" w:rsidRPr="00C50F59">
        <w:rPr>
          <w:spacing w:val="-2"/>
        </w:rPr>
        <w:t>;</w:t>
      </w:r>
      <w:r w:rsidR="00C50F59">
        <w:rPr>
          <w:spacing w:val="-2"/>
        </w:rPr>
        <w:t xml:space="preserve"> </w:t>
      </w:r>
      <w:r w:rsidR="00E944B5">
        <w:rPr>
          <w:spacing w:val="-2"/>
        </w:rPr>
        <w:t>r</w:t>
      </w:r>
      <w:r w:rsidR="00E944B5" w:rsidRPr="00E944B5">
        <w:rPr>
          <w:spacing w:val="-2"/>
        </w:rPr>
        <w:t xml:space="preserve">eview </w:t>
      </w:r>
      <w:r w:rsidR="00E944B5">
        <w:rPr>
          <w:spacing w:val="-2"/>
        </w:rPr>
        <w:t xml:space="preserve"> of </w:t>
      </w:r>
      <w:r w:rsidR="00E944B5" w:rsidRPr="00E944B5">
        <w:rPr>
          <w:spacing w:val="-2"/>
        </w:rPr>
        <w:t>the existing primary dealer</w:t>
      </w:r>
      <w:r w:rsidR="00E944B5">
        <w:rPr>
          <w:spacing w:val="-2"/>
        </w:rPr>
        <w:t>ship</w:t>
      </w:r>
      <w:r w:rsidR="00E944B5" w:rsidRPr="00E944B5">
        <w:rPr>
          <w:spacing w:val="-2"/>
        </w:rPr>
        <w:t xml:space="preserve"> system for trading domestic debt securities for each of the four (4) countries of the WAMZ</w:t>
      </w:r>
      <w:r w:rsidR="00585C51">
        <w:rPr>
          <w:spacing w:val="-2"/>
        </w:rPr>
        <w:t>,</w:t>
      </w:r>
      <w:r w:rsidR="00E944B5" w:rsidRPr="00E944B5">
        <w:rPr>
          <w:spacing w:val="-2"/>
        </w:rPr>
        <w:t xml:space="preserve"> recommendation and design of improve</w:t>
      </w:r>
      <w:r w:rsidR="00E944B5">
        <w:rPr>
          <w:spacing w:val="-2"/>
        </w:rPr>
        <w:t xml:space="preserve">ments for </w:t>
      </w:r>
      <w:r w:rsidR="00E944B5" w:rsidRPr="00E944B5">
        <w:rPr>
          <w:spacing w:val="-2"/>
        </w:rPr>
        <w:t>primary dealer system, and capacity building for relevant stakeholders</w:t>
      </w:r>
      <w:r w:rsidR="00E944B5">
        <w:rPr>
          <w:spacing w:val="-2"/>
        </w:rPr>
        <w:t xml:space="preserve">; </w:t>
      </w:r>
      <w:r w:rsidR="00C50F59">
        <w:rPr>
          <w:spacing w:val="-2"/>
        </w:rPr>
        <w:t>i</w:t>
      </w:r>
      <w:r w:rsidR="00C50F59" w:rsidRPr="00C50F59">
        <w:rPr>
          <w:spacing w:val="-2"/>
        </w:rPr>
        <w:t>dentify key stakeholders and their role in facilitating the market development, including recommend</w:t>
      </w:r>
      <w:r w:rsidR="00E944B5">
        <w:rPr>
          <w:spacing w:val="-2"/>
        </w:rPr>
        <w:t xml:space="preserve">ations on </w:t>
      </w:r>
      <w:r w:rsidR="00C50F59" w:rsidRPr="00C50F59">
        <w:rPr>
          <w:spacing w:val="-2"/>
        </w:rPr>
        <w:t>best practices</w:t>
      </w:r>
      <w:r w:rsidR="00E944B5">
        <w:rPr>
          <w:spacing w:val="-2"/>
        </w:rPr>
        <w:t xml:space="preserve"> adoption</w:t>
      </w:r>
      <w:r w:rsidR="00C50F59" w:rsidRPr="00C50F59">
        <w:rPr>
          <w:spacing w:val="-2"/>
        </w:rPr>
        <w:t>;</w:t>
      </w:r>
      <w:r w:rsidR="00C50F59">
        <w:rPr>
          <w:spacing w:val="-2"/>
        </w:rPr>
        <w:t xml:space="preserve"> d</w:t>
      </w:r>
      <w:r w:rsidR="00C50F59" w:rsidRPr="00C50F59">
        <w:rPr>
          <w:spacing w:val="-2"/>
        </w:rPr>
        <w:t>evelop</w:t>
      </w:r>
      <w:r w:rsidR="00E944B5">
        <w:rPr>
          <w:spacing w:val="-2"/>
        </w:rPr>
        <w:t>ment of</w:t>
      </w:r>
      <w:r w:rsidR="00C50F59" w:rsidRPr="00C50F59">
        <w:rPr>
          <w:spacing w:val="-2"/>
        </w:rPr>
        <w:t xml:space="preserve"> relevant operational </w:t>
      </w:r>
      <w:r w:rsidR="00C50F59" w:rsidRPr="00C50F59">
        <w:rPr>
          <w:spacing w:val="-2"/>
        </w:rPr>
        <w:lastRenderedPageBreak/>
        <w:t>templates/documents/guidelines/frameworks based on the above objectives; and</w:t>
      </w:r>
      <w:r w:rsidR="00C50F59">
        <w:rPr>
          <w:spacing w:val="-2"/>
        </w:rPr>
        <w:t xml:space="preserve"> c</w:t>
      </w:r>
      <w:r w:rsidR="00C50F59" w:rsidRPr="00C50F59">
        <w:rPr>
          <w:spacing w:val="-2"/>
        </w:rPr>
        <w:t>onduct trainings</w:t>
      </w:r>
      <w:r w:rsidR="00585C51">
        <w:rPr>
          <w:spacing w:val="-2"/>
        </w:rPr>
        <w:t xml:space="preserve"> for relevant agencies and </w:t>
      </w:r>
      <w:r w:rsidR="00C50F59" w:rsidRPr="00C50F59">
        <w:rPr>
          <w:spacing w:val="-2"/>
        </w:rPr>
        <w:t>investors awareness</w:t>
      </w:r>
      <w:r w:rsidR="00E944B5">
        <w:rPr>
          <w:spacing w:val="-2"/>
        </w:rPr>
        <w:t xml:space="preserve"> </w:t>
      </w:r>
      <w:r w:rsidR="00585C51">
        <w:rPr>
          <w:spacing w:val="-2"/>
        </w:rPr>
        <w:t xml:space="preserve">workshops </w:t>
      </w:r>
      <w:r w:rsidR="00000478" w:rsidRPr="00000478">
        <w:rPr>
          <w:spacing w:val="-2"/>
        </w:rPr>
        <w:t>in the four beneficiary countries</w:t>
      </w:r>
      <w:r w:rsidR="00000478">
        <w:rPr>
          <w:spacing w:val="-2"/>
        </w:rPr>
        <w:t>.</w:t>
      </w:r>
      <w:r w:rsidR="00000478" w:rsidRPr="00000478">
        <w:rPr>
          <w:spacing w:val="-2"/>
        </w:rPr>
        <w:t xml:space="preserve"> </w:t>
      </w:r>
      <w:r w:rsidR="00000478">
        <w:rPr>
          <w:spacing w:val="-2"/>
        </w:rPr>
        <w:t>T</w:t>
      </w:r>
      <w:r w:rsidR="00000478" w:rsidRPr="00000478">
        <w:rPr>
          <w:spacing w:val="-2"/>
        </w:rPr>
        <w:t xml:space="preserve">he </w:t>
      </w:r>
      <w:r w:rsidR="0009483B">
        <w:rPr>
          <w:spacing w:val="-2"/>
        </w:rPr>
        <w:t>A</w:t>
      </w:r>
      <w:r w:rsidR="00000478" w:rsidRPr="00000478">
        <w:rPr>
          <w:spacing w:val="-2"/>
        </w:rPr>
        <w:t>ssignment duration is envisaged to be</w:t>
      </w:r>
      <w:r w:rsidR="0009483B">
        <w:rPr>
          <w:spacing w:val="-2"/>
        </w:rPr>
        <w:t xml:space="preserve"> for a duration of</w:t>
      </w:r>
      <w:r w:rsidR="00000478" w:rsidRPr="00000478">
        <w:rPr>
          <w:spacing w:val="-2"/>
        </w:rPr>
        <w:t xml:space="preserve"> </w:t>
      </w:r>
      <w:r w:rsidR="00C50F59">
        <w:rPr>
          <w:spacing w:val="-2"/>
        </w:rPr>
        <w:t>s</w:t>
      </w:r>
      <w:r w:rsidR="00953892">
        <w:rPr>
          <w:spacing w:val="-2"/>
        </w:rPr>
        <w:t>even</w:t>
      </w:r>
      <w:r w:rsidR="00CA6C4F">
        <w:rPr>
          <w:spacing w:val="-2"/>
        </w:rPr>
        <w:t xml:space="preserve"> (</w:t>
      </w:r>
      <w:r w:rsidR="00953892">
        <w:rPr>
          <w:spacing w:val="-2"/>
        </w:rPr>
        <w:t>7</w:t>
      </w:r>
      <w:r w:rsidR="00CA6C4F">
        <w:rPr>
          <w:spacing w:val="-2"/>
        </w:rPr>
        <w:t>)</w:t>
      </w:r>
      <w:r w:rsidR="00000478" w:rsidRPr="00000478">
        <w:rPr>
          <w:spacing w:val="-2"/>
        </w:rPr>
        <w:t xml:space="preserve"> months</w:t>
      </w:r>
      <w:r w:rsidR="00000478">
        <w:rPr>
          <w:spacing w:val="-2"/>
        </w:rPr>
        <w:t>.</w:t>
      </w:r>
    </w:p>
    <w:p w14:paraId="2464C6A2" w14:textId="77777777" w:rsidR="00CB0E47" w:rsidRPr="00E03238" w:rsidRDefault="00CB0E47" w:rsidP="00386722">
      <w:pPr>
        <w:rPr>
          <w:spacing w:val="-2"/>
        </w:rPr>
      </w:pPr>
    </w:p>
    <w:p w14:paraId="4924E8DA" w14:textId="77777777" w:rsidR="002B5800" w:rsidRPr="0009483B" w:rsidRDefault="00D80A68" w:rsidP="00386722">
      <w:pPr>
        <w:rPr>
          <w:spacing w:val="-2"/>
        </w:rPr>
      </w:pPr>
      <w:r w:rsidRPr="0009483B">
        <w:rPr>
          <w:spacing w:val="-2"/>
        </w:rPr>
        <w:t xml:space="preserve">The </w:t>
      </w:r>
      <w:r w:rsidR="00000478" w:rsidRPr="0009483B">
        <w:rPr>
          <w:spacing w:val="-2"/>
        </w:rPr>
        <w:t>West African Monetary Institute</w:t>
      </w:r>
      <w:r w:rsidRPr="0009483B">
        <w:rPr>
          <w:spacing w:val="-2"/>
        </w:rPr>
        <w:t xml:space="preserve"> now invites eligible consultants to indicate their interest in providing the</w:t>
      </w:r>
      <w:r w:rsidR="004E0FDB" w:rsidRPr="0009483B">
        <w:rPr>
          <w:spacing w:val="-2"/>
        </w:rPr>
        <w:t>se</w:t>
      </w:r>
      <w:r w:rsidRPr="0009483B">
        <w:rPr>
          <w:spacing w:val="-2"/>
        </w:rPr>
        <w:t xml:space="preserve"> services. Interested consultants must provide information indicating that they are qualified to perform the services (brochures, description of similar assignments, experience in similar conditions, availability of appropriate skills among staff, etc.). Consultants may </w:t>
      </w:r>
      <w:r w:rsidR="00BF11F2" w:rsidRPr="0009483B">
        <w:rPr>
          <w:spacing w:val="-2"/>
        </w:rPr>
        <w:t>constitute joint-ventures</w:t>
      </w:r>
      <w:r w:rsidRPr="0009483B">
        <w:rPr>
          <w:spacing w:val="-2"/>
        </w:rPr>
        <w:t xml:space="preserve"> to enhance their </w:t>
      </w:r>
      <w:r w:rsidR="00BF11F2" w:rsidRPr="0009483B">
        <w:rPr>
          <w:spacing w:val="-2"/>
        </w:rPr>
        <w:t>chances of qualification</w:t>
      </w:r>
      <w:r w:rsidRPr="0009483B">
        <w:rPr>
          <w:spacing w:val="-2"/>
        </w:rPr>
        <w:t>.</w:t>
      </w:r>
      <w:r w:rsidR="0083185C" w:rsidRPr="0009483B">
        <w:rPr>
          <w:spacing w:val="-2"/>
        </w:rPr>
        <w:t xml:space="preserve"> </w:t>
      </w:r>
    </w:p>
    <w:p w14:paraId="2805CF49" w14:textId="77777777" w:rsidR="002B5800" w:rsidRPr="00E03238" w:rsidRDefault="002B5800" w:rsidP="00386722">
      <w:pPr>
        <w:rPr>
          <w:spacing w:val="-2"/>
        </w:rPr>
      </w:pPr>
    </w:p>
    <w:p w14:paraId="01EDE011" w14:textId="77777777" w:rsidR="002B5800" w:rsidRDefault="00BF11F2" w:rsidP="00386722">
      <w:pPr>
        <w:rPr>
          <w:spacing w:val="-2"/>
        </w:rPr>
      </w:pPr>
      <w:r w:rsidRPr="004E0FDB">
        <w:rPr>
          <w:spacing w:val="-2"/>
        </w:rPr>
        <w:t>Eligibility criteria</w:t>
      </w:r>
      <w:r w:rsidR="002B5800" w:rsidRPr="004E0FDB">
        <w:rPr>
          <w:spacing w:val="-2"/>
        </w:rPr>
        <w:t xml:space="preserve">, </w:t>
      </w:r>
      <w:r w:rsidRPr="004E0FDB">
        <w:rPr>
          <w:spacing w:val="-2"/>
        </w:rPr>
        <w:t>establishment of the short-</w:t>
      </w:r>
      <w:r w:rsidR="002B5800" w:rsidRPr="004E0FDB">
        <w:rPr>
          <w:spacing w:val="-2"/>
        </w:rPr>
        <w:t xml:space="preserve">list </w:t>
      </w:r>
      <w:r w:rsidRPr="004E0FDB">
        <w:rPr>
          <w:spacing w:val="-2"/>
        </w:rPr>
        <w:t>and</w:t>
      </w:r>
      <w:r w:rsidR="002B5800" w:rsidRPr="004E0FDB">
        <w:rPr>
          <w:spacing w:val="-2"/>
        </w:rPr>
        <w:t xml:space="preserve"> the selection procedure </w:t>
      </w:r>
      <w:r w:rsidRPr="004E0FDB">
        <w:rPr>
          <w:spacing w:val="-2"/>
        </w:rPr>
        <w:t>shall</w:t>
      </w:r>
      <w:r w:rsidR="002B5800" w:rsidRPr="004E0FDB">
        <w:rPr>
          <w:spacing w:val="-2"/>
        </w:rPr>
        <w:t xml:space="preserve"> be </w:t>
      </w:r>
      <w:r w:rsidR="006F1E14" w:rsidRPr="004E0FDB">
        <w:rPr>
          <w:spacing w:val="-2"/>
        </w:rPr>
        <w:t xml:space="preserve">in </w:t>
      </w:r>
      <w:r w:rsidRPr="004E0FDB">
        <w:rPr>
          <w:spacing w:val="-2"/>
        </w:rPr>
        <w:t>accordance</w:t>
      </w:r>
      <w:r w:rsidR="002B5800" w:rsidRPr="004E0FDB">
        <w:rPr>
          <w:spacing w:val="-2"/>
        </w:rPr>
        <w:t xml:space="preserve"> with the African Development Bank’s</w:t>
      </w:r>
      <w:r w:rsidR="002B5800" w:rsidRPr="004E0FDB">
        <w:rPr>
          <w:b/>
          <w:i/>
          <w:spacing w:val="-2"/>
        </w:rPr>
        <w:t xml:space="preserve"> </w:t>
      </w:r>
      <w:r w:rsidRPr="004E0FDB">
        <w:rPr>
          <w:b/>
          <w:i/>
          <w:spacing w:val="-2"/>
        </w:rPr>
        <w:t>“</w:t>
      </w:r>
      <w:r w:rsidR="002B5800" w:rsidRPr="004E0FDB">
        <w:rPr>
          <w:b/>
          <w:i/>
          <w:spacing w:val="-2"/>
        </w:rPr>
        <w:t>Rules and Procedures for the use of Consultants</w:t>
      </w:r>
      <w:r w:rsidR="00B91022" w:rsidRPr="0009483B">
        <w:rPr>
          <w:bCs/>
          <w:iCs/>
          <w:spacing w:val="-2"/>
        </w:rPr>
        <w:t>”</w:t>
      </w:r>
      <w:r w:rsidR="002B5800" w:rsidRPr="0009483B">
        <w:rPr>
          <w:bCs/>
          <w:iCs/>
          <w:spacing w:val="-2"/>
        </w:rPr>
        <w:t xml:space="preserve"> </w:t>
      </w:r>
      <w:r w:rsidR="0009483B" w:rsidRPr="0009483B">
        <w:rPr>
          <w:bCs/>
          <w:iCs/>
          <w:spacing w:val="-2"/>
        </w:rPr>
        <w:t xml:space="preserve">dated October  2015 </w:t>
      </w:r>
      <w:r w:rsidR="002B5800" w:rsidRPr="0009483B">
        <w:rPr>
          <w:bCs/>
          <w:iCs/>
          <w:spacing w:val="-2"/>
        </w:rPr>
        <w:t xml:space="preserve"> </w:t>
      </w:r>
      <w:r w:rsidRPr="004E0FDB">
        <w:rPr>
          <w:spacing w:val="-2"/>
        </w:rPr>
        <w:t xml:space="preserve">which is </w:t>
      </w:r>
      <w:r w:rsidR="002B5800" w:rsidRPr="004E0FDB">
        <w:rPr>
          <w:spacing w:val="-2"/>
        </w:rPr>
        <w:t xml:space="preserve">available on the Bank’s website at </w:t>
      </w:r>
      <w:hyperlink r:id="rId8" w:history="1">
        <w:r w:rsidR="00A1107E" w:rsidRPr="00353F93">
          <w:rPr>
            <w:rStyle w:val="Hyperlink"/>
            <w:spacing w:val="-2"/>
          </w:rPr>
          <w:t>http://www.afdb.org</w:t>
        </w:r>
      </w:hyperlink>
      <w:r w:rsidR="007824DC" w:rsidRPr="004E0FDB">
        <w:rPr>
          <w:spacing w:val="-2"/>
        </w:rPr>
        <w:t>.</w:t>
      </w:r>
      <w:r w:rsidR="00A1107E">
        <w:rPr>
          <w:spacing w:val="-2"/>
        </w:rPr>
        <w:t xml:space="preserve"> </w:t>
      </w:r>
    </w:p>
    <w:p w14:paraId="1DB996AA" w14:textId="77777777" w:rsidR="00AA5F6C" w:rsidRPr="004E0FDB" w:rsidRDefault="00AA5F6C" w:rsidP="00386722">
      <w:pPr>
        <w:rPr>
          <w:color w:val="000000"/>
        </w:rPr>
      </w:pPr>
    </w:p>
    <w:p w14:paraId="73D5AADC" w14:textId="0441278F" w:rsidR="00D80A68" w:rsidRPr="0009483B" w:rsidRDefault="00D80A68" w:rsidP="00386722">
      <w:pPr>
        <w:rPr>
          <w:iCs/>
          <w:spacing w:val="-2"/>
        </w:rPr>
      </w:pPr>
      <w:r w:rsidRPr="004E0FDB">
        <w:rPr>
          <w:spacing w:val="-2"/>
        </w:rPr>
        <w:t xml:space="preserve">Interested consultants may obtain further information at the address below during office hours </w:t>
      </w:r>
      <w:r w:rsidR="00000478" w:rsidRPr="0009483B">
        <w:rPr>
          <w:iCs/>
          <w:spacing w:val="-2"/>
        </w:rPr>
        <w:t>8.30 hours to 17.00 hours Monday through Friday (excluding public holidays)</w:t>
      </w:r>
      <w:r w:rsidR="0009483B" w:rsidRPr="0009483B">
        <w:rPr>
          <w:iCs/>
        </w:rPr>
        <w:t xml:space="preserve"> </w:t>
      </w:r>
      <w:r w:rsidR="0009483B" w:rsidRPr="0009483B">
        <w:rPr>
          <w:iCs/>
          <w:spacing w:val="-2"/>
        </w:rPr>
        <w:t>at the address below from</w:t>
      </w:r>
      <w:r w:rsidR="00F30DE9">
        <w:rPr>
          <w:iCs/>
          <w:spacing w:val="-2"/>
        </w:rPr>
        <w:t xml:space="preserve"> July 19</w:t>
      </w:r>
      <w:r w:rsidR="00F30DE9" w:rsidRPr="00F30DE9">
        <w:rPr>
          <w:iCs/>
          <w:spacing w:val="-2"/>
          <w:vertAlign w:val="superscript"/>
        </w:rPr>
        <w:t>th</w:t>
      </w:r>
      <w:r w:rsidR="00F30DE9">
        <w:rPr>
          <w:iCs/>
          <w:spacing w:val="-2"/>
        </w:rPr>
        <w:t xml:space="preserve"> to August 4</w:t>
      </w:r>
      <w:r w:rsidR="0083374C" w:rsidRPr="0083374C">
        <w:rPr>
          <w:iCs/>
          <w:spacing w:val="-2"/>
          <w:vertAlign w:val="superscript"/>
        </w:rPr>
        <w:t>th</w:t>
      </w:r>
      <w:r w:rsidR="0083374C">
        <w:rPr>
          <w:iCs/>
          <w:spacing w:val="-2"/>
        </w:rPr>
        <w:t xml:space="preserve"> , 2022</w:t>
      </w:r>
      <w:r w:rsidR="00C753B3">
        <w:rPr>
          <w:iCs/>
          <w:spacing w:val="-2"/>
        </w:rPr>
        <w:t>.</w:t>
      </w:r>
    </w:p>
    <w:p w14:paraId="6708A61E" w14:textId="77777777" w:rsidR="00D80A68" w:rsidRPr="00E03238" w:rsidRDefault="00D80A68" w:rsidP="00386722">
      <w:pPr>
        <w:rPr>
          <w:spacing w:val="-2"/>
        </w:rPr>
      </w:pPr>
    </w:p>
    <w:p w14:paraId="51D9B1D3" w14:textId="0FE14FA0" w:rsidR="00D80A68" w:rsidRDefault="00D80A68" w:rsidP="00386722">
      <w:pPr>
        <w:rPr>
          <w:bCs/>
          <w:lang w:val="en-US"/>
        </w:rPr>
      </w:pPr>
      <w:r w:rsidRPr="00E03238">
        <w:rPr>
          <w:spacing w:val="-2"/>
        </w:rPr>
        <w:t xml:space="preserve">Expressions of interest must be delivered </w:t>
      </w:r>
      <w:r w:rsidR="00977D85">
        <w:rPr>
          <w:spacing w:val="-2"/>
        </w:rPr>
        <w:t xml:space="preserve">by courier or physically in sealed envelopes clearly marked </w:t>
      </w:r>
      <w:r w:rsidRPr="00E03238">
        <w:rPr>
          <w:spacing w:val="-2"/>
        </w:rPr>
        <w:t xml:space="preserve">to the address below by </w:t>
      </w:r>
      <w:r w:rsidR="00C753B3" w:rsidRPr="00C753B3">
        <w:rPr>
          <w:i/>
          <w:iCs/>
          <w:spacing w:val="-2"/>
        </w:rPr>
        <w:t>1</w:t>
      </w:r>
      <w:r w:rsidR="00B624C0">
        <w:rPr>
          <w:i/>
          <w:iCs/>
          <w:spacing w:val="-2"/>
        </w:rPr>
        <w:t>9</w:t>
      </w:r>
      <w:r w:rsidR="00C753B3" w:rsidRPr="00C753B3">
        <w:rPr>
          <w:i/>
          <w:iCs/>
          <w:spacing w:val="-2"/>
          <w:vertAlign w:val="superscript"/>
        </w:rPr>
        <w:t>th</w:t>
      </w:r>
      <w:r w:rsidR="00C753B3" w:rsidRPr="00C753B3">
        <w:rPr>
          <w:i/>
          <w:iCs/>
          <w:spacing w:val="-2"/>
        </w:rPr>
        <w:t xml:space="preserve"> </w:t>
      </w:r>
      <w:r w:rsidR="0083374C" w:rsidRPr="00C753B3">
        <w:rPr>
          <w:i/>
          <w:iCs/>
          <w:spacing w:val="-2"/>
        </w:rPr>
        <w:t>August, 2022</w:t>
      </w:r>
      <w:r w:rsidR="0009483B">
        <w:rPr>
          <w:spacing w:val="-2"/>
        </w:rPr>
        <w:t xml:space="preserve"> </w:t>
      </w:r>
      <w:r w:rsidR="0083185C" w:rsidRPr="00E03238">
        <w:rPr>
          <w:spacing w:val="-2"/>
        </w:rPr>
        <w:t xml:space="preserve">at </w:t>
      </w:r>
      <w:r w:rsidR="00000478">
        <w:rPr>
          <w:i/>
          <w:iCs/>
          <w:spacing w:val="-2"/>
        </w:rPr>
        <w:t>17.00 hours</w:t>
      </w:r>
      <w:r w:rsidR="0083185C" w:rsidRPr="00E03238">
        <w:rPr>
          <w:spacing w:val="-2"/>
        </w:rPr>
        <w:t xml:space="preserve"> and mention </w:t>
      </w:r>
      <w:r w:rsidR="0096315D">
        <w:rPr>
          <w:lang w:val="en-US"/>
        </w:rPr>
        <w:t>“</w:t>
      </w:r>
      <w:r w:rsidR="002F2B53" w:rsidRPr="002F2B53">
        <w:rPr>
          <w:i/>
          <w:spacing w:val="-2"/>
        </w:rPr>
        <w:t xml:space="preserve">Expression of Interest - </w:t>
      </w:r>
      <w:r w:rsidR="000A5B81" w:rsidRPr="000A5B81">
        <w:rPr>
          <w:i/>
          <w:spacing w:val="-2"/>
        </w:rPr>
        <w:t>Consultancy Services for the preparation of harmonized institutional investors framework &amp; development of primary dealers’ system</w:t>
      </w:r>
      <w:r w:rsidR="005174A0">
        <w:rPr>
          <w:i/>
          <w:spacing w:val="-2"/>
        </w:rPr>
        <w:t>”</w:t>
      </w:r>
      <w:r w:rsidR="00BF11F2" w:rsidRPr="00592DF3">
        <w:rPr>
          <w:bCs/>
          <w:lang w:val="en-US"/>
        </w:rPr>
        <w:t>.</w:t>
      </w:r>
    </w:p>
    <w:p w14:paraId="2787DF32" w14:textId="77777777" w:rsidR="00977D85" w:rsidRPr="00E03238" w:rsidRDefault="00977D85" w:rsidP="00386722">
      <w:pPr>
        <w:rPr>
          <w:spacing w:val="-2"/>
        </w:rPr>
      </w:pPr>
    </w:p>
    <w:p w14:paraId="228A3817" w14:textId="77777777" w:rsidR="00D80A68" w:rsidRPr="00E03238" w:rsidRDefault="00D80A68" w:rsidP="00386722">
      <w:pPr>
        <w:rPr>
          <w:spacing w:val="-2"/>
        </w:rPr>
      </w:pPr>
    </w:p>
    <w:p w14:paraId="2B96834D" w14:textId="77777777" w:rsidR="00000478" w:rsidRPr="0009483B" w:rsidRDefault="00D80A68" w:rsidP="00592DF3">
      <w:pPr>
        <w:jc w:val="center"/>
        <w:rPr>
          <w:iCs/>
          <w:spacing w:val="-2"/>
        </w:rPr>
      </w:pPr>
      <w:r w:rsidRPr="0009483B">
        <w:rPr>
          <w:iCs/>
          <w:spacing w:val="-2"/>
        </w:rPr>
        <w:t>Attn:</w:t>
      </w:r>
      <w:r w:rsidR="00000478" w:rsidRPr="0009483B">
        <w:rPr>
          <w:iCs/>
          <w:spacing w:val="-2"/>
        </w:rPr>
        <w:t xml:space="preserve"> Project Implementation Officer</w:t>
      </w:r>
    </w:p>
    <w:p w14:paraId="4837FC9C" w14:textId="77777777" w:rsidR="00000478" w:rsidRPr="0009483B" w:rsidRDefault="00000478" w:rsidP="00592DF3">
      <w:pPr>
        <w:jc w:val="center"/>
        <w:rPr>
          <w:iCs/>
          <w:spacing w:val="-2"/>
        </w:rPr>
      </w:pPr>
      <w:r w:rsidRPr="0009483B">
        <w:rPr>
          <w:iCs/>
          <w:spacing w:val="-2"/>
        </w:rPr>
        <w:t>West African Monetary Institute</w:t>
      </w:r>
    </w:p>
    <w:p w14:paraId="26E2CC22" w14:textId="77777777" w:rsidR="00000478" w:rsidRPr="0009483B" w:rsidRDefault="00000478" w:rsidP="00592DF3">
      <w:pPr>
        <w:jc w:val="center"/>
        <w:rPr>
          <w:iCs/>
          <w:spacing w:val="-2"/>
        </w:rPr>
      </w:pPr>
      <w:r w:rsidRPr="0009483B">
        <w:rPr>
          <w:iCs/>
          <w:spacing w:val="-2"/>
        </w:rPr>
        <w:t>Tetteh Quarshie Interchange</w:t>
      </w:r>
    </w:p>
    <w:p w14:paraId="65BDF78F" w14:textId="77777777" w:rsidR="00000478" w:rsidRPr="0009483B" w:rsidRDefault="00000478" w:rsidP="00592DF3">
      <w:pPr>
        <w:jc w:val="center"/>
        <w:rPr>
          <w:iCs/>
          <w:spacing w:val="-2"/>
        </w:rPr>
      </w:pPr>
      <w:r w:rsidRPr="0009483B">
        <w:rPr>
          <w:iCs/>
          <w:spacing w:val="-2"/>
        </w:rPr>
        <w:t>Gulf House, Accra, Ghana</w:t>
      </w:r>
    </w:p>
    <w:p w14:paraId="43CF2687" w14:textId="77777777" w:rsidR="00000478" w:rsidRPr="0009483B" w:rsidRDefault="00000478" w:rsidP="00592DF3">
      <w:pPr>
        <w:jc w:val="center"/>
        <w:rPr>
          <w:iCs/>
          <w:spacing w:val="-2"/>
          <w:lang w:val="fr-FR"/>
        </w:rPr>
      </w:pPr>
      <w:r w:rsidRPr="0009483B">
        <w:rPr>
          <w:iCs/>
          <w:spacing w:val="-2"/>
          <w:lang w:val="fr-FR"/>
        </w:rPr>
        <w:t>Tel: +233 302 743801</w:t>
      </w:r>
    </w:p>
    <w:p w14:paraId="7D05F35D" w14:textId="77777777" w:rsidR="00531FD6" w:rsidRPr="0009483B" w:rsidRDefault="00000478" w:rsidP="00592DF3">
      <w:pPr>
        <w:jc w:val="center"/>
        <w:rPr>
          <w:iCs/>
          <w:spacing w:val="-2"/>
          <w:lang w:val="fr-FR"/>
        </w:rPr>
      </w:pPr>
      <w:r w:rsidRPr="0009483B">
        <w:rPr>
          <w:iCs/>
          <w:spacing w:val="-2"/>
          <w:lang w:val="fr-FR"/>
        </w:rPr>
        <w:t>E-mail:</w:t>
      </w:r>
      <w:r w:rsidR="001A0DDA" w:rsidRPr="0009483B">
        <w:rPr>
          <w:iCs/>
          <w:spacing w:val="-2"/>
          <w:lang w:val="fr-FR"/>
        </w:rPr>
        <w:t xml:space="preserve"> </w:t>
      </w:r>
      <w:r w:rsidR="009C589E">
        <w:rPr>
          <w:iCs/>
          <w:spacing w:val="-2"/>
          <w:lang w:val="fr-FR"/>
        </w:rPr>
        <w:t>aujunwa@wami-imao.org</w:t>
      </w:r>
    </w:p>
    <w:sectPr w:rsidR="00531FD6" w:rsidRPr="0009483B" w:rsidSect="004530A3">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C939" w14:textId="77777777" w:rsidR="00487B10" w:rsidRDefault="00487B10" w:rsidP="00D80A68">
      <w:r>
        <w:separator/>
      </w:r>
    </w:p>
  </w:endnote>
  <w:endnote w:type="continuationSeparator" w:id="0">
    <w:p w14:paraId="14805303" w14:textId="77777777" w:rsidR="00487B10" w:rsidRDefault="00487B10" w:rsidP="00D8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13E8" w14:textId="77777777" w:rsidR="00487B10" w:rsidRDefault="00487B10" w:rsidP="00D80A68">
      <w:r>
        <w:separator/>
      </w:r>
    </w:p>
  </w:footnote>
  <w:footnote w:type="continuationSeparator" w:id="0">
    <w:p w14:paraId="1A39A1A8" w14:textId="77777777" w:rsidR="00487B10" w:rsidRDefault="00487B10" w:rsidP="00D80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68"/>
    <w:rsid w:val="00000478"/>
    <w:rsid w:val="0009483B"/>
    <w:rsid w:val="00095BD0"/>
    <w:rsid w:val="000A5B81"/>
    <w:rsid w:val="000B3B07"/>
    <w:rsid w:val="0013474A"/>
    <w:rsid w:val="001424C2"/>
    <w:rsid w:val="00143354"/>
    <w:rsid w:val="00143718"/>
    <w:rsid w:val="00154635"/>
    <w:rsid w:val="00163740"/>
    <w:rsid w:val="001957DC"/>
    <w:rsid w:val="001A046F"/>
    <w:rsid w:val="001A0DDA"/>
    <w:rsid w:val="001D3990"/>
    <w:rsid w:val="001E3906"/>
    <w:rsid w:val="002014FB"/>
    <w:rsid w:val="002A00AB"/>
    <w:rsid w:val="002B5800"/>
    <w:rsid w:val="002E1C80"/>
    <w:rsid w:val="002F2B53"/>
    <w:rsid w:val="003417E7"/>
    <w:rsid w:val="00351D29"/>
    <w:rsid w:val="00386722"/>
    <w:rsid w:val="003A56F4"/>
    <w:rsid w:val="003B26ED"/>
    <w:rsid w:val="0042112E"/>
    <w:rsid w:val="004530A3"/>
    <w:rsid w:val="00473F4A"/>
    <w:rsid w:val="00487B10"/>
    <w:rsid w:val="004E0FDB"/>
    <w:rsid w:val="004F3928"/>
    <w:rsid w:val="005174A0"/>
    <w:rsid w:val="00531FD6"/>
    <w:rsid w:val="00585C51"/>
    <w:rsid w:val="00592DF3"/>
    <w:rsid w:val="005C3F88"/>
    <w:rsid w:val="00612444"/>
    <w:rsid w:val="0061332E"/>
    <w:rsid w:val="00643275"/>
    <w:rsid w:val="006606CD"/>
    <w:rsid w:val="00687FB5"/>
    <w:rsid w:val="006B4BFE"/>
    <w:rsid w:val="006C0962"/>
    <w:rsid w:val="006F1E14"/>
    <w:rsid w:val="00765EBC"/>
    <w:rsid w:val="00767EBF"/>
    <w:rsid w:val="007824DC"/>
    <w:rsid w:val="007E2345"/>
    <w:rsid w:val="007E62AF"/>
    <w:rsid w:val="0082335A"/>
    <w:rsid w:val="0083185C"/>
    <w:rsid w:val="0083374C"/>
    <w:rsid w:val="008A28E9"/>
    <w:rsid w:val="008B70E4"/>
    <w:rsid w:val="008C4BF0"/>
    <w:rsid w:val="00950AEC"/>
    <w:rsid w:val="00953892"/>
    <w:rsid w:val="0095755F"/>
    <w:rsid w:val="00960247"/>
    <w:rsid w:val="0096315D"/>
    <w:rsid w:val="00977D85"/>
    <w:rsid w:val="009A11BF"/>
    <w:rsid w:val="009B0850"/>
    <w:rsid w:val="009C1B3B"/>
    <w:rsid w:val="009C589E"/>
    <w:rsid w:val="009D5AAE"/>
    <w:rsid w:val="00A1107E"/>
    <w:rsid w:val="00A40F6D"/>
    <w:rsid w:val="00A73FC5"/>
    <w:rsid w:val="00A90D56"/>
    <w:rsid w:val="00AA5F6C"/>
    <w:rsid w:val="00AB25F0"/>
    <w:rsid w:val="00AF65F5"/>
    <w:rsid w:val="00B048B0"/>
    <w:rsid w:val="00B160CE"/>
    <w:rsid w:val="00B3227B"/>
    <w:rsid w:val="00B624C0"/>
    <w:rsid w:val="00B82684"/>
    <w:rsid w:val="00B91022"/>
    <w:rsid w:val="00BD5667"/>
    <w:rsid w:val="00BF11F2"/>
    <w:rsid w:val="00C1104A"/>
    <w:rsid w:val="00C50F59"/>
    <w:rsid w:val="00C52B18"/>
    <w:rsid w:val="00C606AA"/>
    <w:rsid w:val="00C650B3"/>
    <w:rsid w:val="00C6540B"/>
    <w:rsid w:val="00C72575"/>
    <w:rsid w:val="00C753B3"/>
    <w:rsid w:val="00C81AD4"/>
    <w:rsid w:val="00CA37EF"/>
    <w:rsid w:val="00CA6C4F"/>
    <w:rsid w:val="00CB0E47"/>
    <w:rsid w:val="00CD31E5"/>
    <w:rsid w:val="00CF1862"/>
    <w:rsid w:val="00D43795"/>
    <w:rsid w:val="00D80A68"/>
    <w:rsid w:val="00D93D9B"/>
    <w:rsid w:val="00DB69F1"/>
    <w:rsid w:val="00DB7995"/>
    <w:rsid w:val="00DD42F2"/>
    <w:rsid w:val="00DF7AA3"/>
    <w:rsid w:val="00E03238"/>
    <w:rsid w:val="00E51FA0"/>
    <w:rsid w:val="00E944B5"/>
    <w:rsid w:val="00E9547E"/>
    <w:rsid w:val="00EC5056"/>
    <w:rsid w:val="00EC6776"/>
    <w:rsid w:val="00EC67B8"/>
    <w:rsid w:val="00EF013D"/>
    <w:rsid w:val="00F30DE9"/>
    <w:rsid w:val="00F46BD7"/>
    <w:rsid w:val="00F92511"/>
    <w:rsid w:val="00FB7F1A"/>
    <w:rsid w:val="00FF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5AE7"/>
  <w15:chartTrackingRefBased/>
  <w15:docId w15:val="{DC8AFD3E-4E05-364B-919D-395370C0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68"/>
    <w:pPr>
      <w:tabs>
        <w:tab w:val="left" w:pos="284"/>
      </w:tabs>
      <w:suppressAutoHyphens/>
      <w:jc w:val="both"/>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A68"/>
    <w:rPr>
      <w:vertAlign w:val="superscript"/>
    </w:rPr>
  </w:style>
  <w:style w:type="paragraph" w:styleId="BodyText">
    <w:name w:val="Body Text"/>
    <w:basedOn w:val="Normal"/>
    <w:link w:val="BodyTextChar"/>
    <w:rsid w:val="00D80A68"/>
    <w:pPr>
      <w:spacing w:after="120"/>
    </w:pPr>
  </w:style>
  <w:style w:type="character" w:customStyle="1" w:styleId="BodyTextChar">
    <w:name w:val="Body Text Char"/>
    <w:link w:val="BodyText"/>
    <w:rsid w:val="00D80A68"/>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80A68"/>
    <w:pPr>
      <w:tabs>
        <w:tab w:val="left" w:pos="360"/>
      </w:tabs>
      <w:ind w:left="180" w:hanging="180"/>
    </w:pPr>
    <w:rPr>
      <w:rFonts w:cs="Arial"/>
      <w:sz w:val="18"/>
    </w:rPr>
  </w:style>
  <w:style w:type="character" w:customStyle="1" w:styleId="FootnoteTextChar">
    <w:name w:val="Footnote Text Char"/>
    <w:link w:val="FootnoteText"/>
    <w:semiHidden/>
    <w:rsid w:val="00D80A68"/>
    <w:rPr>
      <w:rFonts w:ascii="Times New Roman" w:eastAsia="Times New Roman" w:hAnsi="Times New Roman" w:cs="Arial"/>
      <w:sz w:val="18"/>
      <w:szCs w:val="24"/>
      <w:lang w:eastAsia="ar-SA"/>
    </w:rPr>
  </w:style>
  <w:style w:type="paragraph" w:customStyle="1" w:styleId="ChapterNumber">
    <w:name w:val="ChapterNumber"/>
    <w:rsid w:val="00D80A68"/>
    <w:pPr>
      <w:tabs>
        <w:tab w:val="left" w:pos="-720"/>
      </w:tabs>
      <w:suppressAutoHyphens/>
    </w:pPr>
    <w:rPr>
      <w:rFonts w:ascii="CG Times" w:eastAsia="Arial" w:hAnsi="CG Times"/>
      <w:sz w:val="22"/>
      <w:lang w:val="en-US" w:eastAsia="ar-SA"/>
    </w:rPr>
  </w:style>
  <w:style w:type="paragraph" w:customStyle="1" w:styleId="Heading1a">
    <w:name w:val="Heading 1a"/>
    <w:rsid w:val="00D80A68"/>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D80A68"/>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095BD0"/>
    <w:rPr>
      <w:rFonts w:ascii="Tahoma" w:hAnsi="Tahoma" w:cs="Tahoma"/>
      <w:sz w:val="16"/>
      <w:szCs w:val="16"/>
    </w:rPr>
  </w:style>
  <w:style w:type="character" w:customStyle="1" w:styleId="BalloonTextChar">
    <w:name w:val="Balloon Text Char"/>
    <w:link w:val="BalloonText"/>
    <w:uiPriority w:val="99"/>
    <w:semiHidden/>
    <w:rsid w:val="00095BD0"/>
    <w:rPr>
      <w:rFonts w:ascii="Tahoma" w:eastAsia="Times New Roman" w:hAnsi="Tahoma" w:cs="Tahoma"/>
      <w:sz w:val="16"/>
      <w:szCs w:val="16"/>
      <w:lang w:val="en-GB" w:eastAsia="ar-SA"/>
    </w:rPr>
  </w:style>
  <w:style w:type="character" w:styleId="CommentReference">
    <w:name w:val="annotation reference"/>
    <w:uiPriority w:val="99"/>
    <w:semiHidden/>
    <w:unhideWhenUsed/>
    <w:rsid w:val="00095BD0"/>
    <w:rPr>
      <w:sz w:val="16"/>
      <w:szCs w:val="16"/>
    </w:rPr>
  </w:style>
  <w:style w:type="paragraph" w:styleId="CommentText">
    <w:name w:val="annotation text"/>
    <w:basedOn w:val="Normal"/>
    <w:link w:val="CommentTextChar"/>
    <w:uiPriority w:val="99"/>
    <w:semiHidden/>
    <w:unhideWhenUsed/>
    <w:rsid w:val="00095BD0"/>
    <w:rPr>
      <w:sz w:val="20"/>
      <w:szCs w:val="20"/>
    </w:rPr>
  </w:style>
  <w:style w:type="character" w:customStyle="1" w:styleId="CommentTextChar">
    <w:name w:val="Comment Text Char"/>
    <w:link w:val="CommentText"/>
    <w:uiPriority w:val="99"/>
    <w:semiHidden/>
    <w:rsid w:val="00095BD0"/>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095BD0"/>
    <w:rPr>
      <w:b/>
      <w:bCs/>
    </w:rPr>
  </w:style>
  <w:style w:type="character" w:customStyle="1" w:styleId="CommentSubjectChar">
    <w:name w:val="Comment Subject Char"/>
    <w:link w:val="CommentSubject"/>
    <w:uiPriority w:val="99"/>
    <w:semiHidden/>
    <w:rsid w:val="00095BD0"/>
    <w:rPr>
      <w:rFonts w:ascii="Times New Roman" w:eastAsia="Times New Roman" w:hAnsi="Times New Roman"/>
      <w:b/>
      <w:bCs/>
      <w:lang w:val="en-GB" w:eastAsia="ar-SA"/>
    </w:rPr>
  </w:style>
  <w:style w:type="character" w:customStyle="1" w:styleId="longtext">
    <w:name w:val="long_text"/>
    <w:basedOn w:val="DefaultParagraphFont"/>
    <w:rsid w:val="008B70E4"/>
  </w:style>
  <w:style w:type="character" w:styleId="Hyperlink">
    <w:name w:val="Hyperlink"/>
    <w:uiPriority w:val="99"/>
    <w:unhideWhenUsed/>
    <w:rsid w:val="00A11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1749971">
          <w:marLeft w:val="0"/>
          <w:marRight w:val="0"/>
          <w:marTop w:val="0"/>
          <w:marBottom w:val="0"/>
          <w:divBdr>
            <w:top w:val="none" w:sz="0" w:space="0" w:color="auto"/>
            <w:left w:val="none" w:sz="0" w:space="0" w:color="auto"/>
            <w:bottom w:val="none" w:sz="0" w:space="0" w:color="auto"/>
            <w:right w:val="none" w:sz="0" w:space="0" w:color="auto"/>
          </w:divBdr>
          <w:divsChild>
            <w:div w:id="214393413">
              <w:marLeft w:val="0"/>
              <w:marRight w:val="0"/>
              <w:marTop w:val="0"/>
              <w:marBottom w:val="0"/>
              <w:divBdr>
                <w:top w:val="none" w:sz="0" w:space="0" w:color="auto"/>
                <w:left w:val="none" w:sz="0" w:space="0" w:color="auto"/>
                <w:bottom w:val="none" w:sz="0" w:space="0" w:color="auto"/>
                <w:right w:val="none" w:sz="0" w:space="0" w:color="auto"/>
              </w:divBdr>
              <w:divsChild>
                <w:div w:id="851410653">
                  <w:marLeft w:val="0"/>
                  <w:marRight w:val="0"/>
                  <w:marTop w:val="0"/>
                  <w:marBottom w:val="0"/>
                  <w:divBdr>
                    <w:top w:val="none" w:sz="0" w:space="0" w:color="auto"/>
                    <w:left w:val="none" w:sz="0" w:space="0" w:color="auto"/>
                    <w:bottom w:val="none" w:sz="0" w:space="0" w:color="auto"/>
                    <w:right w:val="none" w:sz="0" w:space="0" w:color="auto"/>
                  </w:divBdr>
                  <w:divsChild>
                    <w:div w:id="1208956486">
                      <w:marLeft w:val="0"/>
                      <w:marRight w:val="0"/>
                      <w:marTop w:val="0"/>
                      <w:marBottom w:val="0"/>
                      <w:divBdr>
                        <w:top w:val="none" w:sz="0" w:space="0" w:color="auto"/>
                        <w:left w:val="none" w:sz="0" w:space="0" w:color="auto"/>
                        <w:bottom w:val="none" w:sz="0" w:space="0" w:color="auto"/>
                        <w:right w:val="none" w:sz="0" w:space="0" w:color="auto"/>
                      </w:divBdr>
                      <w:divsChild>
                        <w:div w:id="902254699">
                          <w:marLeft w:val="0"/>
                          <w:marRight w:val="0"/>
                          <w:marTop w:val="0"/>
                          <w:marBottom w:val="0"/>
                          <w:divBdr>
                            <w:top w:val="none" w:sz="0" w:space="0" w:color="auto"/>
                            <w:left w:val="none" w:sz="0" w:space="0" w:color="auto"/>
                            <w:bottom w:val="none" w:sz="0" w:space="0" w:color="auto"/>
                            <w:right w:val="none" w:sz="0" w:space="0" w:color="auto"/>
                          </w:divBdr>
                          <w:divsChild>
                            <w:div w:id="546181683">
                              <w:marLeft w:val="0"/>
                              <w:marRight w:val="0"/>
                              <w:marTop w:val="0"/>
                              <w:marBottom w:val="0"/>
                              <w:divBdr>
                                <w:top w:val="none" w:sz="0" w:space="0" w:color="auto"/>
                                <w:left w:val="none" w:sz="0" w:space="0" w:color="auto"/>
                                <w:bottom w:val="none" w:sz="0" w:space="0" w:color="auto"/>
                                <w:right w:val="none" w:sz="0" w:space="0" w:color="auto"/>
                              </w:divBdr>
                              <w:divsChild>
                                <w:div w:id="1419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b.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3764</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Clarence D. Eastman Jr.</cp:lastModifiedBy>
  <cp:revision>2</cp:revision>
  <cp:lastPrinted>2012-05-29T14:20:00Z</cp:lastPrinted>
  <dcterms:created xsi:type="dcterms:W3CDTF">2022-07-28T13:52:00Z</dcterms:created>
  <dcterms:modified xsi:type="dcterms:W3CDTF">2022-07-28T13:52:00Z</dcterms:modified>
</cp:coreProperties>
</file>